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E4DCE" w14:textId="77777777" w:rsidR="006E7A35" w:rsidRPr="00A04608" w:rsidRDefault="006E7A35" w:rsidP="006E7A35">
      <w:pPr>
        <w:pStyle w:val="Default"/>
        <w:spacing w:before="120" w:line="276" w:lineRule="auto"/>
        <w:jc w:val="center"/>
        <w:rPr>
          <w:b/>
          <w:color w:val="000000" w:themeColor="text1"/>
          <w:sz w:val="28"/>
          <w:szCs w:val="28"/>
          <w:lang w:val="ro-RO"/>
        </w:rPr>
      </w:pPr>
      <w:r w:rsidRPr="00A04608">
        <w:rPr>
          <w:b/>
          <w:color w:val="000000" w:themeColor="text1"/>
          <w:sz w:val="28"/>
          <w:szCs w:val="28"/>
          <w:lang w:val="ro-RO"/>
        </w:rPr>
        <w:t>INSTRUCȚIUNEA NR.1</w:t>
      </w:r>
    </w:p>
    <w:p w14:paraId="31957175" w14:textId="77777777" w:rsidR="00900C24" w:rsidRDefault="00900C24" w:rsidP="00900C24">
      <w:pPr>
        <w:spacing w:before="120" w:line="276" w:lineRule="auto"/>
        <w:jc w:val="both"/>
        <w:rPr>
          <w:rFonts w:ascii="Trebuchet MS" w:hAnsi="Trebuchet MS"/>
          <w:color w:val="000000" w:themeColor="text1"/>
          <w:sz w:val="22"/>
          <w:szCs w:val="22"/>
        </w:rPr>
      </w:pPr>
    </w:p>
    <w:p w14:paraId="6B227C81" w14:textId="77777777" w:rsidR="00AB08EF" w:rsidRPr="001650B9" w:rsidRDefault="00AB08EF" w:rsidP="00AB08EF">
      <w:pPr>
        <w:pStyle w:val="Default"/>
        <w:jc w:val="both"/>
        <w:rPr>
          <w:bCs/>
          <w:color w:val="000000" w:themeColor="text1"/>
          <w:sz w:val="22"/>
          <w:szCs w:val="22"/>
          <w:lang w:val="ro-RO"/>
        </w:rPr>
      </w:pPr>
    </w:p>
    <w:p w14:paraId="250F6198" w14:textId="77777777" w:rsidR="00AB08EF" w:rsidRDefault="00AB08EF" w:rsidP="00AB08EF">
      <w:pPr>
        <w:spacing w:line="360" w:lineRule="auto"/>
        <w:jc w:val="both"/>
        <w:rPr>
          <w:rFonts w:ascii="Trebuchet MS" w:hAnsi="Trebuchet MS"/>
          <w:sz w:val="22"/>
          <w:szCs w:val="22"/>
        </w:rPr>
      </w:pPr>
      <w:r w:rsidRPr="001650B9">
        <w:rPr>
          <w:rFonts w:ascii="Trebuchet MS" w:hAnsi="Trebuchet MS"/>
          <w:color w:val="000000" w:themeColor="text1"/>
          <w:sz w:val="22"/>
          <w:szCs w:val="22"/>
        </w:rPr>
        <w:t xml:space="preserve">Ținând cont de prevederile Ghidurilor specifice - Condiții de accesare a fondurilor europene aferente Planului Național de Redresare și Reziliență în cadrul apelului de proiecte Pilonul IV - Coeziunea socială și teritorială, Componenta C11-Turism și cultură, Investiția I1 - Promovarea celor 12 rute turistice/culturale, Programul România atractivă Modernizarea /reabilitarea siturilor turistice pentru </w:t>
      </w:r>
      <w:r w:rsidRPr="001650B9">
        <w:rPr>
          <w:rFonts w:ascii="Trebuchet MS" w:hAnsi="Trebuchet MS"/>
          <w:sz w:val="22"/>
          <w:szCs w:val="22"/>
        </w:rPr>
        <w:t>apelurile 1, 2 și 3</w:t>
      </w:r>
    </w:p>
    <w:p w14:paraId="0E32F533" w14:textId="77777777" w:rsidR="00AB08EF" w:rsidRDefault="00AB08EF" w:rsidP="00AB08EF">
      <w:pPr>
        <w:spacing w:line="360" w:lineRule="auto"/>
        <w:jc w:val="both"/>
        <w:rPr>
          <w:rFonts w:ascii="Trebuchet MS" w:hAnsi="Trebuchet MS"/>
          <w:color w:val="000000" w:themeColor="text1"/>
          <w:sz w:val="22"/>
          <w:szCs w:val="22"/>
        </w:rPr>
      </w:pPr>
      <w:r w:rsidRPr="001650B9">
        <w:rPr>
          <w:rFonts w:ascii="Trebuchet MS" w:hAnsi="Trebuchet MS"/>
          <w:color w:val="000000" w:themeColor="text1"/>
          <w:sz w:val="22"/>
          <w:szCs w:val="22"/>
        </w:rPr>
        <w:t>Având în vedere prevederile  Legii nr. 369 din 7 decembrie 2023 privind aprobarea </w:t>
      </w:r>
      <w:hyperlink r:id="rId7" w:history="1">
        <w:r w:rsidRPr="001650B9">
          <w:rPr>
            <w:rFonts w:ascii="Trebuchet MS" w:hAnsi="Trebuchet MS"/>
            <w:color w:val="000000" w:themeColor="text1"/>
            <w:sz w:val="22"/>
            <w:szCs w:val="22"/>
          </w:rPr>
          <w:t>Ordonanței de urgență a Guvernului nr. 76/2023</w:t>
        </w:r>
      </w:hyperlink>
      <w:r w:rsidRPr="001650B9">
        <w:rPr>
          <w:rFonts w:ascii="Trebuchet MS" w:hAnsi="Trebuchet MS"/>
          <w:color w:val="000000" w:themeColor="text1"/>
          <w:sz w:val="22"/>
          <w:szCs w:val="22"/>
        </w:rPr>
        <w:t> pentru modificarea și completarea </w:t>
      </w:r>
      <w:hyperlink r:id="rId8" w:history="1">
        <w:r w:rsidRPr="001650B9">
          <w:rPr>
            <w:rFonts w:ascii="Trebuchet MS" w:hAnsi="Trebuchet MS"/>
            <w:color w:val="000000" w:themeColor="text1"/>
            <w:sz w:val="22"/>
            <w:szCs w:val="22"/>
          </w:rPr>
          <w:t>Ordonanței de urgență a Guvernului nr. 124/2021</w:t>
        </w:r>
      </w:hyperlink>
      <w:r w:rsidRPr="001650B9">
        <w:rPr>
          <w:rFonts w:ascii="Trebuchet MS" w:hAnsi="Trebuchet MS"/>
          <w:color w:val="000000" w:themeColor="text1"/>
          <w:sz w:val="22"/>
          <w:szCs w:val="22"/>
        </w:rPr>
        <w:t> privind stabilirea cadrului instituțional și financiar pentru gestionarea fondurilor europene alocate României prin Mecanismul de redresare și reziliență, precum și pentru modificarea și completarea </w:t>
      </w:r>
      <w:hyperlink r:id="rId9" w:history="1">
        <w:r w:rsidRPr="001650B9">
          <w:rPr>
            <w:rFonts w:ascii="Trebuchet MS" w:hAnsi="Trebuchet MS"/>
            <w:color w:val="000000" w:themeColor="text1"/>
            <w:sz w:val="22"/>
            <w:szCs w:val="22"/>
          </w:rPr>
          <w:t>Ordonanței de urgență a Guvernului nr. 155/2020</w:t>
        </w:r>
      </w:hyperlink>
      <w:r w:rsidRPr="001650B9">
        <w:rPr>
          <w:rFonts w:ascii="Trebuchet MS" w:hAnsi="Trebuchet MS"/>
          <w:color w:val="000000" w:themeColor="text1"/>
          <w:sz w:val="22"/>
          <w:szCs w:val="22"/>
        </w:rPr>
        <w:t> privind unele măsuri pentru elaborarea Planului național de redresare și reziliență necesar României pentru accesarea de fonduri externe rambursabile și nerambursabile în cadrul Mecanismului de redresare și reziliență</w:t>
      </w:r>
    </w:p>
    <w:p w14:paraId="53B0E130" w14:textId="77777777" w:rsidR="00AB08EF" w:rsidRDefault="00AB08EF" w:rsidP="00AB08EF">
      <w:pPr>
        <w:spacing w:line="360" w:lineRule="auto"/>
        <w:jc w:val="both"/>
        <w:rPr>
          <w:rFonts w:ascii="Trebuchet MS" w:hAnsi="Trebuchet MS"/>
          <w:color w:val="000000" w:themeColor="text1"/>
          <w:sz w:val="22"/>
          <w:szCs w:val="22"/>
        </w:rPr>
      </w:pPr>
    </w:p>
    <w:p w14:paraId="098EE892" w14:textId="3B62ADC3" w:rsidR="00AB08EF" w:rsidRPr="00B90242" w:rsidRDefault="00AB08EF" w:rsidP="00AB08EF">
      <w:pPr>
        <w:spacing w:line="360" w:lineRule="auto"/>
        <w:jc w:val="both"/>
        <w:rPr>
          <w:rFonts w:ascii="Trebuchet MS" w:hAnsi="Trebuchet MS"/>
          <w:b/>
          <w:bCs/>
          <w:color w:val="000000" w:themeColor="text1"/>
          <w:sz w:val="22"/>
          <w:szCs w:val="22"/>
        </w:rPr>
      </w:pPr>
      <w:r w:rsidRPr="00B90242">
        <w:rPr>
          <w:rFonts w:ascii="Trebuchet MS" w:hAnsi="Trebuchet MS"/>
          <w:b/>
          <w:bCs/>
          <w:color w:val="000000" w:themeColor="text1"/>
          <w:sz w:val="22"/>
          <w:szCs w:val="22"/>
        </w:rPr>
        <w:t>Ministerul Investițiilor și Proiectelor Europene în calitate de coordonator de reforme și investiții din PNRR emite următoarea instrucțiune pentru aplicarea unitară a prevederilor Ghidurilor specifice - Condiții de accesare a fondurilor europene aferente Planului Național de Redresare și Reziliență în cadrul apelului de proiecte Pilonul IV - Coeziunea socială și teritorială, Componenta C11-Turism și cultură, Investiția I1 - Promovarea celor 12 rute turistice/culturale, Programul România atractivă Modernizarea /reabilitarea siturilor turistice apelurile 1, 2 și 3.</w:t>
      </w:r>
    </w:p>
    <w:p w14:paraId="4A7CD0D3" w14:textId="77777777" w:rsidR="00AB08EF" w:rsidRPr="001650B9" w:rsidRDefault="00AB08EF" w:rsidP="00AB08EF">
      <w:pPr>
        <w:spacing w:line="360" w:lineRule="auto"/>
        <w:jc w:val="both"/>
        <w:rPr>
          <w:rFonts w:ascii="Trebuchet MS" w:hAnsi="Trebuchet MS"/>
          <w:color w:val="000000" w:themeColor="text1"/>
          <w:sz w:val="22"/>
          <w:szCs w:val="22"/>
        </w:rPr>
      </w:pPr>
    </w:p>
    <w:p w14:paraId="316419CD" w14:textId="77777777" w:rsidR="00AB08EF" w:rsidRPr="001650B9" w:rsidRDefault="00AB08EF" w:rsidP="00AB08EF">
      <w:pPr>
        <w:spacing w:line="360" w:lineRule="auto"/>
        <w:jc w:val="both"/>
        <w:rPr>
          <w:rFonts w:ascii="Trebuchet MS" w:hAnsi="Trebuchet MS"/>
          <w:color w:val="000000" w:themeColor="text1"/>
          <w:sz w:val="22"/>
          <w:szCs w:val="22"/>
        </w:rPr>
      </w:pPr>
      <w:r w:rsidRPr="001650B9">
        <w:rPr>
          <w:rFonts w:ascii="Trebuchet MS" w:hAnsi="Trebuchet MS"/>
          <w:color w:val="000000" w:themeColor="text1"/>
          <w:sz w:val="22"/>
          <w:szCs w:val="22"/>
        </w:rPr>
        <w:t xml:space="preserve">Valoarea alocării financiare aferente rutei satelor cu arhitectură tradițională și rutei refacerea peisajului cultural din Delta Dunării în vederea creșterii atractivității zonei, conform art. 2.5 din Ghidul specific este </w:t>
      </w:r>
      <w:bookmarkStart w:id="0" w:name="_Hlk158373205"/>
      <w:r w:rsidRPr="001650B9">
        <w:rPr>
          <w:rFonts w:ascii="Trebuchet MS" w:hAnsi="Trebuchet MS"/>
          <w:color w:val="000000" w:themeColor="text1"/>
          <w:sz w:val="22"/>
          <w:szCs w:val="22"/>
        </w:rPr>
        <w:t xml:space="preserve">de 60.000 euro fără TVA /obiectiv/casă </w:t>
      </w:r>
      <w:bookmarkEnd w:id="0"/>
      <w:r w:rsidRPr="001650B9">
        <w:rPr>
          <w:rFonts w:ascii="Trebuchet MS" w:hAnsi="Trebuchet MS"/>
          <w:color w:val="000000" w:themeColor="text1"/>
          <w:sz w:val="22"/>
          <w:szCs w:val="22"/>
        </w:rPr>
        <w:t xml:space="preserve">(295.362 lei fără TVA /obiectiv/casă pentru apelurile 1 și 2, respectiv 295.134 lei fără TVA /obiectiv/casă pentru apelul 3) iar această valoare reprezintă valoarea maximă eligibilă ce poate fi acordată per obiectiv/casă. </w:t>
      </w:r>
    </w:p>
    <w:p w14:paraId="683E9D92" w14:textId="77777777" w:rsidR="00AB08EF" w:rsidRPr="001650B9" w:rsidRDefault="00AB08EF" w:rsidP="00AB08EF">
      <w:pPr>
        <w:spacing w:line="360" w:lineRule="auto"/>
        <w:jc w:val="both"/>
        <w:rPr>
          <w:rFonts w:ascii="Trebuchet MS" w:hAnsi="Trebuchet MS"/>
          <w:color w:val="000000" w:themeColor="text1"/>
          <w:sz w:val="22"/>
          <w:szCs w:val="22"/>
        </w:rPr>
      </w:pPr>
    </w:p>
    <w:p w14:paraId="26ADA03B" w14:textId="77777777" w:rsidR="00AB08EF" w:rsidRDefault="00AB08EF" w:rsidP="00AB08EF">
      <w:pPr>
        <w:spacing w:line="360" w:lineRule="auto"/>
        <w:jc w:val="both"/>
        <w:rPr>
          <w:rFonts w:ascii="Trebuchet MS" w:hAnsi="Trebuchet MS"/>
          <w:color w:val="000000" w:themeColor="text1"/>
          <w:sz w:val="22"/>
          <w:szCs w:val="22"/>
        </w:rPr>
      </w:pPr>
      <w:r w:rsidRPr="001650B9">
        <w:rPr>
          <w:rFonts w:ascii="Trebuchet MS" w:hAnsi="Trebuchet MS"/>
          <w:color w:val="000000" w:themeColor="text1"/>
          <w:sz w:val="22"/>
          <w:szCs w:val="22"/>
        </w:rPr>
        <w:t xml:space="preserve">Cheltuielile sunt considerate eligibile în cadrul PNRR pentru fiecare categorie de cheltuieli eligibile inclusă în Buget, conform prevederilor articolului </w:t>
      </w:r>
      <w:bookmarkStart w:id="1" w:name="_Toc34649536"/>
      <w:bookmarkStart w:id="2" w:name="_Toc106963741"/>
      <w:r w:rsidRPr="001650B9">
        <w:rPr>
          <w:rFonts w:ascii="Trebuchet MS" w:hAnsi="Trebuchet MS"/>
          <w:color w:val="000000" w:themeColor="text1"/>
          <w:sz w:val="22"/>
          <w:szCs w:val="22"/>
        </w:rPr>
        <w:t>4.2 Eligibilitatea cheltuielilor</w:t>
      </w:r>
      <w:bookmarkEnd w:id="1"/>
      <w:bookmarkEnd w:id="2"/>
      <w:r w:rsidRPr="001650B9">
        <w:rPr>
          <w:rFonts w:ascii="Trebuchet MS" w:hAnsi="Trebuchet MS"/>
          <w:color w:val="000000" w:themeColor="text1"/>
          <w:sz w:val="22"/>
          <w:szCs w:val="22"/>
        </w:rPr>
        <w:t xml:space="preserve">, precum și cu respectarea încadrării în valoarea maximă eligibilă menționată la art. 2.5, punctele 9 și 10 din Ghidul specific aferent apelurilor 1 și 3, respectiv art. 2.5, punctele 5 și 6 din Ghidul specific aferent apelului 2. Totalul cheltuielilor eligibile aferente capitolelor bugetare ale proiectului nu trebuie să depășească bugetul alocat. În cazul în care valoarea proiectului este mai mare decât valoarea maximă eligibilă menționată anterior, cheltuielile sunt suportate de beneficiar, astfel: pentru beneficiarii autorități publice, cheltuielile vor fi acoperite din fonduri publice naționale, conform prevederilor </w:t>
      </w:r>
      <w:hyperlink r:id="rId10" w:history="1">
        <w:r w:rsidRPr="00F55200">
          <w:rPr>
            <w:rFonts w:ascii="Trebuchet MS" w:hAnsi="Trebuchet MS"/>
            <w:color w:val="000000" w:themeColor="text1"/>
            <w:sz w:val="22"/>
            <w:szCs w:val="22"/>
          </w:rPr>
          <w:t>Ordonanței de urgență a Guvernului nr. 124/2021</w:t>
        </w:r>
      </w:hyperlink>
      <w:r w:rsidRPr="00F55200">
        <w:rPr>
          <w:rFonts w:ascii="Trebuchet MS" w:hAnsi="Trebuchet MS"/>
          <w:color w:val="000000" w:themeColor="text1"/>
          <w:sz w:val="22"/>
          <w:szCs w:val="22"/>
        </w:rPr>
        <w:t> privind stabilirea cadrului instituțional și financiar pentru gestionarea fondurilor europene alocate României prin Mecanismul de redresare și reziliență, cu modificările și completările ulterioare</w:t>
      </w:r>
      <w:r>
        <w:rPr>
          <w:rFonts w:ascii="Trebuchet MS" w:hAnsi="Trebuchet MS"/>
          <w:color w:val="000000" w:themeColor="text1"/>
          <w:sz w:val="22"/>
          <w:szCs w:val="22"/>
        </w:rPr>
        <w:t>,</w:t>
      </w:r>
      <w:r w:rsidRPr="001650B9">
        <w:rPr>
          <w:rFonts w:ascii="Trebuchet MS" w:hAnsi="Trebuchet MS"/>
          <w:color w:val="000000" w:themeColor="text1"/>
          <w:sz w:val="22"/>
          <w:szCs w:val="22"/>
        </w:rPr>
        <w:t xml:space="preserve"> iar pentru beneficiarii privați, cheltuielile vor fi acoperite din contribuția proprie. </w:t>
      </w:r>
    </w:p>
    <w:p w14:paraId="6DE8CAFA" w14:textId="77777777" w:rsidR="00AB08EF" w:rsidRDefault="00AB08EF" w:rsidP="00AB08EF">
      <w:pPr>
        <w:spacing w:line="360" w:lineRule="auto"/>
        <w:jc w:val="both"/>
        <w:rPr>
          <w:rFonts w:ascii="Trebuchet MS" w:hAnsi="Trebuchet MS"/>
          <w:sz w:val="22"/>
          <w:szCs w:val="22"/>
        </w:rPr>
      </w:pPr>
    </w:p>
    <w:p w14:paraId="16BFC6F8" w14:textId="77777777" w:rsidR="00AB08EF" w:rsidRPr="001650B9" w:rsidRDefault="00AB08EF" w:rsidP="00AB08EF">
      <w:pPr>
        <w:spacing w:line="360" w:lineRule="auto"/>
        <w:jc w:val="both"/>
        <w:rPr>
          <w:rFonts w:ascii="Trebuchet MS" w:hAnsi="Trebuchet MS"/>
          <w:sz w:val="22"/>
          <w:szCs w:val="22"/>
        </w:rPr>
      </w:pPr>
      <w:r w:rsidRPr="001650B9">
        <w:rPr>
          <w:rFonts w:ascii="Trebuchet MS" w:hAnsi="Trebuchet MS"/>
          <w:sz w:val="22"/>
          <w:szCs w:val="22"/>
        </w:rPr>
        <w:t>Menționăm faptul că toate cheltuielile incluse în cererile de transfer trebuie să respecte condițiile de eligibilitate menționate în Ghidul specific.</w:t>
      </w:r>
    </w:p>
    <w:p w14:paraId="0EE570AE" w14:textId="6B446EFC" w:rsidR="00AB08EF" w:rsidRDefault="00AB08EF" w:rsidP="00AB08EF">
      <w:pPr>
        <w:spacing w:line="360" w:lineRule="auto"/>
        <w:jc w:val="both"/>
        <w:rPr>
          <w:rFonts w:ascii="Trebuchet MS" w:hAnsi="Trebuchet MS"/>
          <w:sz w:val="22"/>
          <w:szCs w:val="22"/>
        </w:rPr>
      </w:pPr>
      <w:r w:rsidRPr="00156093">
        <w:rPr>
          <w:rFonts w:ascii="Trebuchet MS" w:hAnsi="Trebuchet MS"/>
          <w:sz w:val="22"/>
          <w:szCs w:val="22"/>
        </w:rPr>
        <w:t xml:space="preserve">În cazul celor trei apeluri de proiecte se pot depune cereri de transfer care cuprind cheltuieli eligibile cu încadrarea în valoarea maximă aprobată pentru respectivul capitol bugetar, </w:t>
      </w:r>
      <w:r>
        <w:rPr>
          <w:rFonts w:ascii="Trebuchet MS" w:hAnsi="Trebuchet MS"/>
          <w:sz w:val="22"/>
          <w:szCs w:val="22"/>
        </w:rPr>
        <w:t xml:space="preserve">precum și </w:t>
      </w:r>
      <w:r w:rsidRPr="00156093">
        <w:rPr>
          <w:rFonts w:ascii="Trebuchet MS" w:hAnsi="Trebuchet MS"/>
          <w:sz w:val="22"/>
          <w:szCs w:val="22"/>
        </w:rPr>
        <w:t>în limita a 60.000 euro obiectiv/casă tradițională fără TVA</w:t>
      </w:r>
      <w:r>
        <w:rPr>
          <w:rFonts w:ascii="Trebuchet MS" w:hAnsi="Trebuchet MS"/>
          <w:sz w:val="22"/>
          <w:szCs w:val="22"/>
        </w:rPr>
        <w:t>,</w:t>
      </w:r>
      <w:r w:rsidRPr="00156093">
        <w:rPr>
          <w:rFonts w:ascii="Trebuchet MS" w:hAnsi="Trebuchet MS"/>
          <w:sz w:val="22"/>
          <w:szCs w:val="22"/>
        </w:rPr>
        <w:t xml:space="preserve"> raportat la cheltuielile din </w:t>
      </w:r>
      <w:r w:rsidRPr="00156093">
        <w:rPr>
          <w:rFonts w:ascii="Trebuchet MS" w:hAnsi="Trebuchet MS"/>
          <w:i/>
          <w:iCs/>
          <w:sz w:val="22"/>
          <w:szCs w:val="22"/>
        </w:rPr>
        <w:t>Capitolul 4 Cheltuieli pentru investiția de bază</w:t>
      </w:r>
      <w:r w:rsidRPr="00156093">
        <w:rPr>
          <w:rFonts w:ascii="Trebuchet MS" w:hAnsi="Trebuchet MS"/>
          <w:sz w:val="22"/>
          <w:szCs w:val="22"/>
        </w:rPr>
        <w:t xml:space="preserve"> al articolului 4.2 Eligibilitatea cheltuielilor din Ghidul specific.</w:t>
      </w:r>
      <w:r>
        <w:rPr>
          <w:rFonts w:ascii="Trebuchet MS" w:hAnsi="Trebuchet MS"/>
          <w:sz w:val="22"/>
          <w:szCs w:val="22"/>
        </w:rPr>
        <w:t xml:space="preserve"> </w:t>
      </w:r>
    </w:p>
    <w:p w14:paraId="13207BA3" w14:textId="77777777" w:rsidR="00AB08EF" w:rsidRPr="001650B9" w:rsidRDefault="00AB08EF" w:rsidP="00AB08EF">
      <w:pPr>
        <w:spacing w:line="360" w:lineRule="auto"/>
        <w:jc w:val="both"/>
        <w:rPr>
          <w:rFonts w:ascii="Trebuchet MS" w:hAnsi="Trebuchet MS"/>
          <w:sz w:val="22"/>
          <w:szCs w:val="22"/>
        </w:rPr>
      </w:pPr>
      <w:r w:rsidRPr="001650B9">
        <w:rPr>
          <w:rFonts w:ascii="Trebuchet MS" w:hAnsi="Trebuchet MS"/>
          <w:sz w:val="22"/>
          <w:szCs w:val="22"/>
        </w:rPr>
        <w:t xml:space="preserve">În ceea ce privește celelalte tipuri de cheltuieli eligibile aferente celorlalte capitole bugetare ale articolului 4.2 Eligibilitatea cheltuielilor din Ghidul specific, respectiv </w:t>
      </w:r>
      <w:r w:rsidRPr="001650B9">
        <w:rPr>
          <w:rFonts w:ascii="Trebuchet MS" w:hAnsi="Trebuchet MS"/>
          <w:i/>
          <w:iCs/>
          <w:sz w:val="22"/>
          <w:szCs w:val="22"/>
        </w:rPr>
        <w:t>Capitolul 1.Cheltuieli pentru amenajarea terenului; Capitolul 2. Cheltuieli pentru asigurarea utilităților necesare obiectivului; Capitolul 3. Cheltuieli pentru proiectare și asistență tehnică</w:t>
      </w:r>
      <w:r w:rsidRPr="001650B9">
        <w:rPr>
          <w:rFonts w:ascii="Trebuchet MS" w:hAnsi="Trebuchet MS"/>
          <w:sz w:val="22"/>
          <w:szCs w:val="22"/>
        </w:rPr>
        <w:t xml:space="preserve">, acestea pot fi solicitate prin cereri de transfer, inclusiv global pentru </w:t>
      </w:r>
      <w:r w:rsidRPr="00765844">
        <w:rPr>
          <w:rFonts w:ascii="Trebuchet MS" w:hAnsi="Trebuchet MS"/>
          <w:sz w:val="22"/>
          <w:szCs w:val="22"/>
        </w:rPr>
        <w:t>toate obiectivele vizate, cu respectarea încadrării în valoarea maximă aprobată pentru respectivul capitol bugetar, fără a depăși valoarea bugetului contractului de finanțare.</w:t>
      </w:r>
    </w:p>
    <w:p w14:paraId="6033C712" w14:textId="77777777" w:rsidR="00AB08EF" w:rsidRDefault="00AB08EF" w:rsidP="00AB08EF">
      <w:pPr>
        <w:spacing w:line="360" w:lineRule="auto"/>
        <w:jc w:val="both"/>
        <w:rPr>
          <w:rFonts w:ascii="Trebuchet MS" w:hAnsi="Trebuchet MS"/>
          <w:color w:val="000000" w:themeColor="text1"/>
          <w:sz w:val="22"/>
          <w:szCs w:val="22"/>
        </w:rPr>
      </w:pPr>
    </w:p>
    <w:p w14:paraId="64C81568" w14:textId="43BBD5FD" w:rsidR="006671AB" w:rsidRPr="00B90242" w:rsidRDefault="00AB08EF" w:rsidP="00AB08EF">
      <w:pPr>
        <w:spacing w:line="360" w:lineRule="auto"/>
        <w:jc w:val="both"/>
        <w:rPr>
          <w:rFonts w:ascii="Trebuchet MS" w:hAnsi="Trebuchet MS"/>
          <w:b/>
          <w:bCs/>
          <w:color w:val="000000" w:themeColor="text1"/>
          <w:sz w:val="22"/>
          <w:szCs w:val="22"/>
        </w:rPr>
      </w:pPr>
      <w:r w:rsidRPr="00B90242">
        <w:rPr>
          <w:rFonts w:ascii="Trebuchet MS" w:hAnsi="Trebuchet MS"/>
          <w:b/>
          <w:bCs/>
          <w:color w:val="000000" w:themeColor="text1"/>
          <w:sz w:val="22"/>
          <w:szCs w:val="22"/>
        </w:rPr>
        <w:t xml:space="preserve">Prezenta instrucțiune intră în vigoare de la data publicării. </w:t>
      </w:r>
    </w:p>
    <w:sectPr w:rsidR="006671AB" w:rsidRPr="00B90242" w:rsidSect="009D07F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B8C2" w14:textId="77777777" w:rsidR="009D07F9" w:rsidRDefault="009D07F9" w:rsidP="005930A0">
      <w:r>
        <w:separator/>
      </w:r>
    </w:p>
  </w:endnote>
  <w:endnote w:type="continuationSeparator" w:id="0">
    <w:p w14:paraId="73583DE6" w14:textId="77777777" w:rsidR="009D07F9" w:rsidRDefault="009D07F9" w:rsidP="0059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355618"/>
      <w:docPartObj>
        <w:docPartGallery w:val="Page Numbers (Bottom of Page)"/>
        <w:docPartUnique/>
      </w:docPartObj>
    </w:sdtPr>
    <w:sdtEndPr>
      <w:rPr>
        <w:noProof/>
      </w:rPr>
    </w:sdtEndPr>
    <w:sdtContent>
      <w:p w14:paraId="172018CD" w14:textId="2BC7F7DA" w:rsidR="00E964C7" w:rsidRDefault="00E964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0E0DFC" w14:textId="77777777" w:rsidR="00E964C7" w:rsidRPr="002A2B1E" w:rsidRDefault="00E964C7" w:rsidP="00E964C7">
    <w:pPr>
      <w:spacing w:line="276" w:lineRule="auto"/>
      <w:rPr>
        <w:rFonts w:ascii="Trebuchet MS" w:hAnsi="Trebuchet MS"/>
        <w:sz w:val="20"/>
        <w:szCs w:val="20"/>
      </w:rPr>
    </w:pPr>
    <w:r w:rsidRPr="002A2B1E">
      <w:rPr>
        <w:rFonts w:ascii="Trebuchet MS" w:hAnsi="Trebuchet MS"/>
        <w:sz w:val="20"/>
        <w:szCs w:val="20"/>
      </w:rPr>
      <w:t xml:space="preserve">PNRR: Finanțat de Uniunea Europeană – </w:t>
    </w:r>
    <w:proofErr w:type="spellStart"/>
    <w:r w:rsidRPr="002A2B1E">
      <w:rPr>
        <w:rFonts w:ascii="Trebuchet MS" w:hAnsi="Trebuchet MS"/>
        <w:sz w:val="20"/>
        <w:szCs w:val="20"/>
      </w:rPr>
      <w:t>UrmătoareaGenerațieUE</w:t>
    </w:r>
    <w:proofErr w:type="spellEnd"/>
  </w:p>
  <w:p w14:paraId="443B703D" w14:textId="77777777" w:rsidR="00E964C7" w:rsidRPr="002A2B1E" w:rsidRDefault="00000000" w:rsidP="00E964C7">
    <w:pPr>
      <w:spacing w:line="276" w:lineRule="auto"/>
      <w:rPr>
        <w:rFonts w:ascii="Trebuchet MS" w:hAnsi="Trebuchet MS"/>
        <w:b/>
        <w:bCs/>
        <w:color w:val="44546A"/>
        <w:sz w:val="20"/>
        <w:szCs w:val="20"/>
        <w:u w:val="single"/>
      </w:rPr>
    </w:pPr>
    <w:hyperlink r:id="rId1" w:history="1">
      <w:r w:rsidR="00E964C7" w:rsidRPr="002A2B1E">
        <w:rPr>
          <w:rStyle w:val="Hyperlink"/>
          <w:rFonts w:ascii="Trebuchet MS" w:hAnsi="Trebuchet MS"/>
          <w:sz w:val="20"/>
          <w:szCs w:val="20"/>
        </w:rPr>
        <w:t>https://mfe.gov.ro/pnrr/</w:t>
      </w:r>
    </w:hyperlink>
  </w:p>
  <w:p w14:paraId="374DB006" w14:textId="77777777" w:rsidR="00E964C7" w:rsidRPr="002A2B1E" w:rsidRDefault="00000000" w:rsidP="00E964C7">
    <w:pPr>
      <w:spacing w:line="276" w:lineRule="auto"/>
      <w:rPr>
        <w:rFonts w:ascii="Trebuchet MS" w:hAnsi="Trebuchet MS"/>
        <w:b/>
        <w:bCs/>
        <w:color w:val="44546A"/>
        <w:sz w:val="20"/>
        <w:szCs w:val="20"/>
      </w:rPr>
    </w:pPr>
    <w:hyperlink r:id="rId2" w:history="1">
      <w:r w:rsidR="00E964C7" w:rsidRPr="002A2B1E">
        <w:rPr>
          <w:rStyle w:val="Hyperlink"/>
          <w:rFonts w:ascii="Trebuchet MS" w:hAnsi="Trebuchet MS"/>
          <w:b/>
          <w:bCs/>
          <w:sz w:val="20"/>
          <w:szCs w:val="20"/>
        </w:rPr>
        <w:t>https://mfe.gov.ro/category/anunturi-pnrr/</w:t>
      </w:r>
    </w:hyperlink>
    <w:r w:rsidR="00E964C7" w:rsidRPr="002A2B1E">
      <w:rPr>
        <w:rFonts w:ascii="Trebuchet MS" w:hAnsi="Trebuchet MS"/>
        <w:b/>
        <w:bCs/>
        <w:color w:val="44546A"/>
        <w:sz w:val="20"/>
        <w:szCs w:val="20"/>
      </w:rPr>
      <w:t xml:space="preserve"> </w:t>
    </w:r>
  </w:p>
  <w:p w14:paraId="2248B62E" w14:textId="0EB555ED" w:rsidR="002A2B1E" w:rsidRPr="002A2B1E" w:rsidRDefault="00000000" w:rsidP="00E964C7">
    <w:pPr>
      <w:spacing w:line="276" w:lineRule="auto"/>
      <w:rPr>
        <w:rFonts w:ascii="Trebuchet MS" w:hAnsi="Trebuchet MS"/>
        <w:b/>
        <w:bCs/>
        <w:color w:val="44546A"/>
        <w:sz w:val="20"/>
        <w:szCs w:val="20"/>
      </w:rPr>
    </w:pPr>
    <w:hyperlink r:id="rId3" w:history="1">
      <w:r w:rsidR="00E964C7" w:rsidRPr="002A2B1E">
        <w:rPr>
          <w:rStyle w:val="Hyperlink"/>
          <w:rFonts w:ascii="Trebuchet MS" w:hAnsi="Trebuchet MS"/>
          <w:sz w:val="20"/>
          <w:szCs w:val="20"/>
        </w:rPr>
        <w:t>https://www.facebook.com/PNRROficial</w:t>
      </w:r>
    </w:hyperlink>
    <w:r w:rsidR="00E964C7" w:rsidRPr="002A2B1E">
      <w:rPr>
        <w:rStyle w:val="Hyperlink"/>
        <w:rFonts w:ascii="Trebuchet MS" w:hAnsi="Trebuchet MS"/>
        <w:b/>
        <w:bCs/>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66704" w14:textId="77777777" w:rsidR="009D07F9" w:rsidRDefault="009D07F9" w:rsidP="005930A0">
      <w:r>
        <w:separator/>
      </w:r>
    </w:p>
  </w:footnote>
  <w:footnote w:type="continuationSeparator" w:id="0">
    <w:p w14:paraId="30A2BF35" w14:textId="77777777" w:rsidR="009D07F9" w:rsidRDefault="009D07F9" w:rsidP="00593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54E2" w14:textId="40FB2539" w:rsidR="00191ED0" w:rsidRDefault="00191ED0">
    <w:pPr>
      <w:pStyle w:val="Header"/>
    </w:pPr>
    <w:r>
      <w:rPr>
        <w:noProof/>
      </w:rPr>
      <w:drawing>
        <wp:inline distT="0" distB="0" distL="0" distR="0" wp14:anchorId="7DCFC3DC" wp14:editId="3DA58582">
          <wp:extent cx="5943600" cy="52336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23366"/>
                  </a:xfrm>
                  <a:prstGeom prst="rect">
                    <a:avLst/>
                  </a:prstGeom>
                  <a:noFill/>
                </pic:spPr>
              </pic:pic>
            </a:graphicData>
          </a:graphic>
        </wp:inline>
      </w:drawing>
    </w:r>
  </w:p>
  <w:p w14:paraId="73660B4A" w14:textId="77777777" w:rsidR="00191ED0" w:rsidRDefault="00191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0E8B"/>
    <w:multiLevelType w:val="hybridMultilevel"/>
    <w:tmpl w:val="5700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6D338B"/>
    <w:multiLevelType w:val="hybridMultilevel"/>
    <w:tmpl w:val="B65C66F8"/>
    <w:lvl w:ilvl="0" w:tplc="99AE423E">
      <w:start w:val="1"/>
      <w:numFmt w:val="decimal"/>
      <w:lvlText w:val="%1."/>
      <w:lvlJc w:val="left"/>
      <w:pPr>
        <w:ind w:left="502" w:hanging="360"/>
      </w:pPr>
      <w:rPr>
        <w:rFonts w:hint="default"/>
        <w:b/>
        <w:bCs/>
      </w:rPr>
    </w:lvl>
    <w:lvl w:ilvl="1" w:tplc="04180019">
      <w:start w:val="1"/>
      <w:numFmt w:val="lowerLetter"/>
      <w:lvlText w:val="%2."/>
      <w:lvlJc w:val="left"/>
      <w:pPr>
        <w:ind w:left="1146" w:hanging="360"/>
      </w:pPr>
    </w:lvl>
    <w:lvl w:ilvl="2" w:tplc="3A207136">
      <w:start w:val="1"/>
      <w:numFmt w:val="upperRoman"/>
      <w:lvlText w:val="%3."/>
      <w:lvlJc w:val="left"/>
      <w:pPr>
        <w:ind w:left="2406" w:hanging="720"/>
      </w:pPr>
      <w:rPr>
        <w:rFonts w:hint="default"/>
      </w:rPr>
    </w:lvl>
    <w:lvl w:ilvl="3" w:tplc="0418000F" w:tentative="1">
      <w:start w:val="1"/>
      <w:numFmt w:val="decimal"/>
      <w:lvlText w:val="%4."/>
      <w:lvlJc w:val="left"/>
      <w:pPr>
        <w:ind w:left="2586" w:hanging="360"/>
      </w:pPr>
    </w:lvl>
    <w:lvl w:ilvl="4" w:tplc="04180019" w:tentative="1">
      <w:start w:val="1"/>
      <w:numFmt w:val="lowerLetter"/>
      <w:lvlText w:val="%5."/>
      <w:lvlJc w:val="left"/>
      <w:pPr>
        <w:ind w:left="3306" w:hanging="360"/>
      </w:pPr>
    </w:lvl>
    <w:lvl w:ilvl="5" w:tplc="0418001B" w:tentative="1">
      <w:start w:val="1"/>
      <w:numFmt w:val="lowerRoman"/>
      <w:lvlText w:val="%6."/>
      <w:lvlJc w:val="right"/>
      <w:pPr>
        <w:ind w:left="4026" w:hanging="180"/>
      </w:pPr>
    </w:lvl>
    <w:lvl w:ilvl="6" w:tplc="0418000F" w:tentative="1">
      <w:start w:val="1"/>
      <w:numFmt w:val="decimal"/>
      <w:lvlText w:val="%7."/>
      <w:lvlJc w:val="left"/>
      <w:pPr>
        <w:ind w:left="4746" w:hanging="360"/>
      </w:pPr>
    </w:lvl>
    <w:lvl w:ilvl="7" w:tplc="04180019" w:tentative="1">
      <w:start w:val="1"/>
      <w:numFmt w:val="lowerLetter"/>
      <w:lvlText w:val="%8."/>
      <w:lvlJc w:val="left"/>
      <w:pPr>
        <w:ind w:left="5466" w:hanging="360"/>
      </w:pPr>
    </w:lvl>
    <w:lvl w:ilvl="8" w:tplc="0418001B" w:tentative="1">
      <w:start w:val="1"/>
      <w:numFmt w:val="lowerRoman"/>
      <w:lvlText w:val="%9."/>
      <w:lvlJc w:val="right"/>
      <w:pPr>
        <w:ind w:left="6186" w:hanging="180"/>
      </w:pPr>
    </w:lvl>
  </w:abstractNum>
  <w:abstractNum w:abstractNumId="2" w15:restartNumberingAfterBreak="0">
    <w:nsid w:val="36E9464F"/>
    <w:multiLevelType w:val="hybridMultilevel"/>
    <w:tmpl w:val="4E8A5854"/>
    <w:lvl w:ilvl="0" w:tplc="F85447A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C17551"/>
    <w:multiLevelType w:val="hybridMultilevel"/>
    <w:tmpl w:val="A2E226CA"/>
    <w:lvl w:ilvl="0" w:tplc="3D647F06">
      <w:start w:val="6"/>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5639205C"/>
    <w:multiLevelType w:val="hybridMultilevel"/>
    <w:tmpl w:val="6498A772"/>
    <w:lvl w:ilvl="0" w:tplc="AB100162">
      <w:numFmt w:val="bullet"/>
      <w:lvlText w:val="-"/>
      <w:lvlJc w:val="left"/>
      <w:pPr>
        <w:ind w:left="720" w:hanging="360"/>
      </w:pPr>
      <w:rPr>
        <w:rFonts w:ascii="Trebuchet MS" w:eastAsiaTheme="minorHAnsi" w:hAnsi="Trebuchet MS" w:cs="Trebuchet MS" w:hint="default"/>
        <w:b w:val="0"/>
        <w:i w:val="0"/>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3D37C8"/>
    <w:multiLevelType w:val="multilevel"/>
    <w:tmpl w:val="59A225F0"/>
    <w:lvl w:ilvl="0">
      <w:start w:val="2"/>
      <w:numFmt w:val="decimal"/>
      <w:lvlText w:val="%1"/>
      <w:lvlJc w:val="left"/>
      <w:pPr>
        <w:ind w:left="360" w:hanging="360"/>
      </w:pPr>
      <w:rPr>
        <w:rFonts w:hint="default"/>
      </w:rPr>
    </w:lvl>
    <w:lvl w:ilvl="1">
      <w:start w:val="5"/>
      <w:numFmt w:val="decimal"/>
      <w:lvlText w:val="%1.%2"/>
      <w:lvlJc w:val="left"/>
      <w:pPr>
        <w:ind w:left="1296" w:hanging="36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7" w15:restartNumberingAfterBreak="0">
    <w:nsid w:val="61D02F2B"/>
    <w:multiLevelType w:val="hybridMultilevel"/>
    <w:tmpl w:val="BA446338"/>
    <w:lvl w:ilvl="0" w:tplc="C524890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65761E8C"/>
    <w:multiLevelType w:val="multilevel"/>
    <w:tmpl w:val="1F5C75EE"/>
    <w:lvl w:ilvl="0">
      <w:start w:val="4"/>
      <w:numFmt w:val="decimal"/>
      <w:lvlText w:val="%1"/>
      <w:lvlJc w:val="left"/>
      <w:pPr>
        <w:ind w:left="360" w:hanging="360"/>
      </w:pPr>
      <w:rPr>
        <w:rFonts w:hint="default"/>
      </w:rPr>
    </w:lvl>
    <w:lvl w:ilvl="1">
      <w:start w:val="2"/>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3096" w:hanging="180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888" w:hanging="2160"/>
      </w:pPr>
      <w:rPr>
        <w:rFonts w:hint="default"/>
      </w:rPr>
    </w:lvl>
  </w:abstractNum>
  <w:abstractNum w:abstractNumId="9" w15:restartNumberingAfterBreak="0">
    <w:nsid w:val="6A6C085B"/>
    <w:multiLevelType w:val="hybridMultilevel"/>
    <w:tmpl w:val="5DD2C2BC"/>
    <w:lvl w:ilvl="0" w:tplc="0418000F">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6DD48BA"/>
    <w:multiLevelType w:val="multilevel"/>
    <w:tmpl w:val="BA863258"/>
    <w:lvl w:ilvl="0">
      <w:start w:val="2"/>
      <w:numFmt w:val="decimal"/>
      <w:lvlText w:val="%1"/>
      <w:lvlJc w:val="left"/>
      <w:pPr>
        <w:ind w:left="360" w:hanging="360"/>
      </w:pPr>
      <w:rPr>
        <w:rFonts w:hint="default"/>
      </w:rPr>
    </w:lvl>
    <w:lvl w:ilvl="1">
      <w:start w:val="5"/>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3096" w:hanging="180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888" w:hanging="2160"/>
      </w:pPr>
      <w:rPr>
        <w:rFonts w:hint="default"/>
      </w:rPr>
    </w:lvl>
  </w:abstractNum>
  <w:abstractNum w:abstractNumId="12"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01041600">
    <w:abstractNumId w:val="2"/>
  </w:num>
  <w:num w:numId="2" w16cid:durableId="1573393467">
    <w:abstractNumId w:val="5"/>
  </w:num>
  <w:num w:numId="3" w16cid:durableId="268003597">
    <w:abstractNumId w:val="1"/>
  </w:num>
  <w:num w:numId="4" w16cid:durableId="2039163685">
    <w:abstractNumId w:val="10"/>
  </w:num>
  <w:num w:numId="5" w16cid:durableId="2763731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799738">
    <w:abstractNumId w:val="9"/>
  </w:num>
  <w:num w:numId="7" w16cid:durableId="188298860">
    <w:abstractNumId w:val="4"/>
  </w:num>
  <w:num w:numId="8" w16cid:durableId="159393629">
    <w:abstractNumId w:val="3"/>
  </w:num>
  <w:num w:numId="9" w16cid:durableId="1560097268">
    <w:abstractNumId w:val="11"/>
  </w:num>
  <w:num w:numId="10" w16cid:durableId="1184633653">
    <w:abstractNumId w:val="8"/>
  </w:num>
  <w:num w:numId="11" w16cid:durableId="2052805132">
    <w:abstractNumId w:val="6"/>
  </w:num>
  <w:num w:numId="12" w16cid:durableId="1478456200">
    <w:abstractNumId w:val="12"/>
  </w:num>
  <w:num w:numId="13" w16cid:durableId="157352720">
    <w:abstractNumId w:val="7"/>
  </w:num>
  <w:num w:numId="14" w16cid:durableId="83545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2D1"/>
    <w:rsid w:val="00003BEC"/>
    <w:rsid w:val="000050FC"/>
    <w:rsid w:val="0001220A"/>
    <w:rsid w:val="0002025D"/>
    <w:rsid w:val="00025F5A"/>
    <w:rsid w:val="000352C6"/>
    <w:rsid w:val="000863FE"/>
    <w:rsid w:val="000925CF"/>
    <w:rsid w:val="000A12F5"/>
    <w:rsid w:val="000A7FD5"/>
    <w:rsid w:val="000C66D7"/>
    <w:rsid w:val="000E5364"/>
    <w:rsid w:val="000F1BCE"/>
    <w:rsid w:val="000F65A2"/>
    <w:rsid w:val="00103FDE"/>
    <w:rsid w:val="00105015"/>
    <w:rsid w:val="00121124"/>
    <w:rsid w:val="00121D1C"/>
    <w:rsid w:val="001313E0"/>
    <w:rsid w:val="00141D97"/>
    <w:rsid w:val="001425A3"/>
    <w:rsid w:val="00156093"/>
    <w:rsid w:val="00157469"/>
    <w:rsid w:val="001650B9"/>
    <w:rsid w:val="00176BC8"/>
    <w:rsid w:val="001774F8"/>
    <w:rsid w:val="00181D4D"/>
    <w:rsid w:val="0018796F"/>
    <w:rsid w:val="00191ED0"/>
    <w:rsid w:val="00195C43"/>
    <w:rsid w:val="001C66A1"/>
    <w:rsid w:val="001D0F22"/>
    <w:rsid w:val="001E01DE"/>
    <w:rsid w:val="001E33A1"/>
    <w:rsid w:val="001E68BF"/>
    <w:rsid w:val="001F22BD"/>
    <w:rsid w:val="0028247C"/>
    <w:rsid w:val="00283F66"/>
    <w:rsid w:val="002968E9"/>
    <w:rsid w:val="002A2B1E"/>
    <w:rsid w:val="002D01AB"/>
    <w:rsid w:val="002D7327"/>
    <w:rsid w:val="002F595E"/>
    <w:rsid w:val="003020FF"/>
    <w:rsid w:val="003123E3"/>
    <w:rsid w:val="00315D1C"/>
    <w:rsid w:val="00316213"/>
    <w:rsid w:val="003244C7"/>
    <w:rsid w:val="00337944"/>
    <w:rsid w:val="00372528"/>
    <w:rsid w:val="003C2FEB"/>
    <w:rsid w:val="003D6C9A"/>
    <w:rsid w:val="003D7AC4"/>
    <w:rsid w:val="003E7598"/>
    <w:rsid w:val="003F68F6"/>
    <w:rsid w:val="004216C8"/>
    <w:rsid w:val="00440817"/>
    <w:rsid w:val="00453010"/>
    <w:rsid w:val="004569FD"/>
    <w:rsid w:val="00465C12"/>
    <w:rsid w:val="00470FA8"/>
    <w:rsid w:val="0049090A"/>
    <w:rsid w:val="004A447A"/>
    <w:rsid w:val="004A5EC3"/>
    <w:rsid w:val="004A7068"/>
    <w:rsid w:val="004C40C2"/>
    <w:rsid w:val="004D3AA0"/>
    <w:rsid w:val="004D4492"/>
    <w:rsid w:val="004D4AB6"/>
    <w:rsid w:val="004D7331"/>
    <w:rsid w:val="005078A1"/>
    <w:rsid w:val="005149A1"/>
    <w:rsid w:val="005163B5"/>
    <w:rsid w:val="00520687"/>
    <w:rsid w:val="00523880"/>
    <w:rsid w:val="00541470"/>
    <w:rsid w:val="00544AFA"/>
    <w:rsid w:val="00553BF7"/>
    <w:rsid w:val="00562788"/>
    <w:rsid w:val="0056313A"/>
    <w:rsid w:val="00582F21"/>
    <w:rsid w:val="005930A0"/>
    <w:rsid w:val="005A1102"/>
    <w:rsid w:val="005A26B6"/>
    <w:rsid w:val="005B2DB0"/>
    <w:rsid w:val="005B6A95"/>
    <w:rsid w:val="005C118A"/>
    <w:rsid w:val="005C30BA"/>
    <w:rsid w:val="005D6E9A"/>
    <w:rsid w:val="005E75F7"/>
    <w:rsid w:val="005E7A68"/>
    <w:rsid w:val="005F1248"/>
    <w:rsid w:val="005F326F"/>
    <w:rsid w:val="005F6ECE"/>
    <w:rsid w:val="00602638"/>
    <w:rsid w:val="00606E2D"/>
    <w:rsid w:val="00607FC6"/>
    <w:rsid w:val="00615834"/>
    <w:rsid w:val="006671AB"/>
    <w:rsid w:val="00670999"/>
    <w:rsid w:val="0067631D"/>
    <w:rsid w:val="006905A9"/>
    <w:rsid w:val="006B1A84"/>
    <w:rsid w:val="006C6A8F"/>
    <w:rsid w:val="006E7A35"/>
    <w:rsid w:val="007208BB"/>
    <w:rsid w:val="00721E90"/>
    <w:rsid w:val="007343E0"/>
    <w:rsid w:val="00734456"/>
    <w:rsid w:val="00741BF3"/>
    <w:rsid w:val="0074554A"/>
    <w:rsid w:val="007540D4"/>
    <w:rsid w:val="00765844"/>
    <w:rsid w:val="007716CB"/>
    <w:rsid w:val="0077314B"/>
    <w:rsid w:val="00776154"/>
    <w:rsid w:val="007838EA"/>
    <w:rsid w:val="00785B1D"/>
    <w:rsid w:val="007A32CD"/>
    <w:rsid w:val="007B55B6"/>
    <w:rsid w:val="007C3528"/>
    <w:rsid w:val="007D0A3C"/>
    <w:rsid w:val="007D7634"/>
    <w:rsid w:val="007D7825"/>
    <w:rsid w:val="008031FB"/>
    <w:rsid w:val="0081333C"/>
    <w:rsid w:val="00821737"/>
    <w:rsid w:val="00825A29"/>
    <w:rsid w:val="00827157"/>
    <w:rsid w:val="008356C4"/>
    <w:rsid w:val="008526F7"/>
    <w:rsid w:val="00861267"/>
    <w:rsid w:val="00862481"/>
    <w:rsid w:val="00875131"/>
    <w:rsid w:val="00880AD8"/>
    <w:rsid w:val="0088769D"/>
    <w:rsid w:val="00890542"/>
    <w:rsid w:val="008930A9"/>
    <w:rsid w:val="00893DF8"/>
    <w:rsid w:val="008A663E"/>
    <w:rsid w:val="008C37FC"/>
    <w:rsid w:val="008C3F67"/>
    <w:rsid w:val="008D04D9"/>
    <w:rsid w:val="008D4DA8"/>
    <w:rsid w:val="008D75FD"/>
    <w:rsid w:val="008F55B2"/>
    <w:rsid w:val="00900C24"/>
    <w:rsid w:val="00902B1F"/>
    <w:rsid w:val="009120A3"/>
    <w:rsid w:val="0091737E"/>
    <w:rsid w:val="00923D3F"/>
    <w:rsid w:val="00951C3A"/>
    <w:rsid w:val="00965420"/>
    <w:rsid w:val="00970D2B"/>
    <w:rsid w:val="00975750"/>
    <w:rsid w:val="00980DC4"/>
    <w:rsid w:val="009810FA"/>
    <w:rsid w:val="00986F40"/>
    <w:rsid w:val="00993D7B"/>
    <w:rsid w:val="009A44D8"/>
    <w:rsid w:val="009B09E8"/>
    <w:rsid w:val="009D0203"/>
    <w:rsid w:val="009D07F9"/>
    <w:rsid w:val="009E4C01"/>
    <w:rsid w:val="009F58C6"/>
    <w:rsid w:val="00A04608"/>
    <w:rsid w:val="00A13A74"/>
    <w:rsid w:val="00A37EA9"/>
    <w:rsid w:val="00A5506B"/>
    <w:rsid w:val="00A71CA6"/>
    <w:rsid w:val="00A732D1"/>
    <w:rsid w:val="00A7367E"/>
    <w:rsid w:val="00A75B5E"/>
    <w:rsid w:val="00A85E00"/>
    <w:rsid w:val="00A974CA"/>
    <w:rsid w:val="00AA0B39"/>
    <w:rsid w:val="00AB08EF"/>
    <w:rsid w:val="00AD4DA8"/>
    <w:rsid w:val="00AF45A4"/>
    <w:rsid w:val="00B01330"/>
    <w:rsid w:val="00B01402"/>
    <w:rsid w:val="00B05DB4"/>
    <w:rsid w:val="00B07A08"/>
    <w:rsid w:val="00B15A1F"/>
    <w:rsid w:val="00B15D50"/>
    <w:rsid w:val="00B22623"/>
    <w:rsid w:val="00B229D0"/>
    <w:rsid w:val="00B33284"/>
    <w:rsid w:val="00B34453"/>
    <w:rsid w:val="00B55C9D"/>
    <w:rsid w:val="00B71256"/>
    <w:rsid w:val="00B81387"/>
    <w:rsid w:val="00B90242"/>
    <w:rsid w:val="00B96C97"/>
    <w:rsid w:val="00BA1FF0"/>
    <w:rsid w:val="00BB0175"/>
    <w:rsid w:val="00BB218B"/>
    <w:rsid w:val="00BC06A3"/>
    <w:rsid w:val="00BC5E0B"/>
    <w:rsid w:val="00C03ADF"/>
    <w:rsid w:val="00C07186"/>
    <w:rsid w:val="00C41308"/>
    <w:rsid w:val="00C55991"/>
    <w:rsid w:val="00C6732C"/>
    <w:rsid w:val="00C770DB"/>
    <w:rsid w:val="00C84B01"/>
    <w:rsid w:val="00C862D1"/>
    <w:rsid w:val="00C92B91"/>
    <w:rsid w:val="00C9752B"/>
    <w:rsid w:val="00CA34CA"/>
    <w:rsid w:val="00CB4A2B"/>
    <w:rsid w:val="00CB6258"/>
    <w:rsid w:val="00CC4039"/>
    <w:rsid w:val="00CD3B03"/>
    <w:rsid w:val="00CE02B9"/>
    <w:rsid w:val="00CE4FB7"/>
    <w:rsid w:val="00CF44CA"/>
    <w:rsid w:val="00D0354F"/>
    <w:rsid w:val="00D10432"/>
    <w:rsid w:val="00D1160C"/>
    <w:rsid w:val="00D161AE"/>
    <w:rsid w:val="00D2016E"/>
    <w:rsid w:val="00D36EE2"/>
    <w:rsid w:val="00D46AC2"/>
    <w:rsid w:val="00D61D40"/>
    <w:rsid w:val="00D82979"/>
    <w:rsid w:val="00D848A8"/>
    <w:rsid w:val="00D86569"/>
    <w:rsid w:val="00D921AB"/>
    <w:rsid w:val="00DA5068"/>
    <w:rsid w:val="00DC0A3F"/>
    <w:rsid w:val="00DC1C6B"/>
    <w:rsid w:val="00DC288C"/>
    <w:rsid w:val="00DD0B21"/>
    <w:rsid w:val="00DF6254"/>
    <w:rsid w:val="00E15DC7"/>
    <w:rsid w:val="00E17B44"/>
    <w:rsid w:val="00E22696"/>
    <w:rsid w:val="00E24A20"/>
    <w:rsid w:val="00E55A51"/>
    <w:rsid w:val="00E613E3"/>
    <w:rsid w:val="00E73AF4"/>
    <w:rsid w:val="00E80F2E"/>
    <w:rsid w:val="00E84799"/>
    <w:rsid w:val="00E91D66"/>
    <w:rsid w:val="00E964C7"/>
    <w:rsid w:val="00EC1301"/>
    <w:rsid w:val="00EE44FC"/>
    <w:rsid w:val="00EF2B15"/>
    <w:rsid w:val="00F0010D"/>
    <w:rsid w:val="00F23FB1"/>
    <w:rsid w:val="00F44FAE"/>
    <w:rsid w:val="00F473B8"/>
    <w:rsid w:val="00F55200"/>
    <w:rsid w:val="00F7536E"/>
    <w:rsid w:val="00F80840"/>
    <w:rsid w:val="00FA211C"/>
    <w:rsid w:val="00FB1CAC"/>
    <w:rsid w:val="00FB4113"/>
    <w:rsid w:val="00FB544B"/>
    <w:rsid w:val="00FC530B"/>
    <w:rsid w:val="00FC69D1"/>
    <w:rsid w:val="00FF4BEC"/>
    <w:rsid w:val="00FF6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072D"/>
  <w15:chartTrackingRefBased/>
  <w15:docId w15:val="{D833D66A-0949-492E-9ED6-F904A80B2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10D"/>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B71256"/>
    <w:pPr>
      <w:keepNext/>
      <w:numPr>
        <w:numId w:val="4"/>
      </w:numPr>
      <w:shd w:val="clear" w:color="auto" w:fill="D9D9D9"/>
      <w:spacing w:before="240" w:after="960"/>
      <w:outlineLvl w:val="0"/>
    </w:pPr>
    <w:rPr>
      <w:rFonts w:ascii="Trebuchet MS"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qFormat/>
    <w:rsid w:val="00B71256"/>
    <w:pPr>
      <w:keepNext/>
      <w:numPr>
        <w:ilvl w:val="1"/>
        <w:numId w:val="4"/>
      </w:numPr>
      <w:spacing w:before="240" w:after="60"/>
      <w:outlineLvl w:val="1"/>
    </w:pPr>
    <w:rPr>
      <w:rFonts w:ascii="Trebuchet MS" w:hAnsi="Trebuchet MS" w:cs="Arial"/>
      <w:b/>
      <w:bCs/>
      <w:szCs w:val="28"/>
    </w:rPr>
  </w:style>
  <w:style w:type="paragraph" w:styleId="Heading3">
    <w:name w:val="heading 3"/>
    <w:aliases w:val="Podpodkapitola,adpis 3,KopCat. 3,Numbered - 3"/>
    <w:basedOn w:val="Normal"/>
    <w:next w:val="Normal"/>
    <w:link w:val="Heading3Char"/>
    <w:qFormat/>
    <w:rsid w:val="00B71256"/>
    <w:pPr>
      <w:keepNext/>
      <w:numPr>
        <w:ilvl w:val="2"/>
        <w:numId w:val="4"/>
      </w:numPr>
      <w:spacing w:before="240" w:after="60"/>
      <w:outlineLvl w:val="2"/>
    </w:pPr>
    <w:rPr>
      <w:rFonts w:ascii="Trebuchet MS" w:hAnsi="Trebuchet MS" w:cs="Arial"/>
      <w:b/>
      <w:bCs/>
      <w:sz w:val="20"/>
      <w:szCs w:val="26"/>
    </w:rPr>
  </w:style>
  <w:style w:type="paragraph" w:styleId="Heading4">
    <w:name w:val="heading 4"/>
    <w:basedOn w:val="Normal"/>
    <w:next w:val="Normal"/>
    <w:link w:val="Heading4Char"/>
    <w:qFormat/>
    <w:rsid w:val="00B71256"/>
    <w:pPr>
      <w:keepNext/>
      <w:numPr>
        <w:ilvl w:val="3"/>
        <w:numId w:val="4"/>
      </w:numPr>
      <w:spacing w:before="240" w:after="60"/>
      <w:outlineLvl w:val="3"/>
    </w:pPr>
    <w:rPr>
      <w:rFonts w:ascii="Trebuchet MS" w:hAnsi="Trebuchet MS" w:cs="Arial"/>
      <w:b/>
      <w:bCs/>
      <w:sz w:val="20"/>
      <w:szCs w:val="28"/>
    </w:rPr>
  </w:style>
  <w:style w:type="paragraph" w:styleId="Heading5">
    <w:name w:val="heading 5"/>
    <w:basedOn w:val="Normal"/>
    <w:next w:val="Normal"/>
    <w:link w:val="Heading5Char"/>
    <w:qFormat/>
    <w:rsid w:val="00B71256"/>
    <w:pPr>
      <w:keepNext/>
      <w:numPr>
        <w:ilvl w:val="4"/>
        <w:numId w:val="4"/>
      </w:numPr>
      <w:jc w:val="right"/>
      <w:outlineLvl w:val="4"/>
    </w:pPr>
    <w:rPr>
      <w:rFonts w:ascii="Trebuchet MS" w:hAnsi="Trebuchet MS"/>
      <w:b/>
      <w:bCs/>
      <w:sz w:val="20"/>
    </w:rPr>
  </w:style>
  <w:style w:type="paragraph" w:styleId="Heading6">
    <w:name w:val="heading 6"/>
    <w:basedOn w:val="Normal"/>
    <w:next w:val="Normal"/>
    <w:link w:val="Heading6Char"/>
    <w:qFormat/>
    <w:rsid w:val="00B71256"/>
    <w:pPr>
      <w:keepNext/>
      <w:numPr>
        <w:ilvl w:val="5"/>
        <w:numId w:val="4"/>
      </w:numPr>
      <w:spacing w:before="120" w:after="120"/>
      <w:jc w:val="right"/>
      <w:outlineLvl w:val="5"/>
    </w:pPr>
    <w:rPr>
      <w:rFonts w:ascii="Trebuchet MS" w:hAnsi="Trebuchet MS" w:cs="Arial"/>
      <w:b/>
      <w:caps/>
      <w:color w:val="003366"/>
      <w:spacing w:val="-22"/>
      <w:sz w:val="36"/>
    </w:rPr>
  </w:style>
  <w:style w:type="paragraph" w:styleId="Heading7">
    <w:name w:val="heading 7"/>
    <w:basedOn w:val="Normal"/>
    <w:next w:val="Normal"/>
    <w:link w:val="Heading7Char"/>
    <w:qFormat/>
    <w:rsid w:val="00B71256"/>
    <w:pPr>
      <w:keepNext/>
      <w:numPr>
        <w:ilvl w:val="6"/>
        <w:numId w:val="4"/>
      </w:numPr>
      <w:spacing w:before="120" w:after="120"/>
      <w:jc w:val="center"/>
      <w:outlineLvl w:val="6"/>
    </w:pPr>
    <w:rPr>
      <w:rFonts w:ascii="Trebuchet MS" w:hAnsi="Trebuchet MS"/>
    </w:rPr>
  </w:style>
  <w:style w:type="paragraph" w:styleId="Heading8">
    <w:name w:val="heading 8"/>
    <w:basedOn w:val="Normal"/>
    <w:next w:val="Normal"/>
    <w:link w:val="Heading8Char"/>
    <w:qFormat/>
    <w:rsid w:val="00B71256"/>
    <w:pPr>
      <w:keepNext/>
      <w:numPr>
        <w:ilvl w:val="7"/>
        <w:numId w:val="4"/>
      </w:numPr>
      <w:jc w:val="right"/>
      <w:outlineLvl w:val="7"/>
    </w:pPr>
    <w:rPr>
      <w:rFonts w:ascii="Trebuchet MS" w:hAnsi="Trebuchet MS"/>
      <w:b/>
      <w:caps/>
      <w:sz w:val="32"/>
    </w:rPr>
  </w:style>
  <w:style w:type="paragraph" w:styleId="Heading9">
    <w:name w:val="heading 9"/>
    <w:basedOn w:val="Normal"/>
    <w:next w:val="Normal"/>
    <w:link w:val="Heading9Char"/>
    <w:qFormat/>
    <w:rsid w:val="00B71256"/>
    <w:pPr>
      <w:keepNext/>
      <w:numPr>
        <w:ilvl w:val="8"/>
        <w:numId w:val="4"/>
      </w:numPr>
      <w:spacing w:before="40" w:after="40"/>
      <w:jc w:val="center"/>
      <w:outlineLvl w:val="8"/>
    </w:pPr>
    <w:rPr>
      <w:rFonts w:ascii="Trebuchet MS" w:hAnsi="Trebuchet M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D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D40"/>
    <w:rPr>
      <w:rFonts w:ascii="Segoe UI" w:eastAsia="Times New Roman" w:hAnsi="Segoe UI" w:cs="Segoe UI"/>
      <w:sz w:val="18"/>
      <w:szCs w:val="18"/>
    </w:rPr>
  </w:style>
  <w:style w:type="paragraph" w:styleId="Header">
    <w:name w:val="header"/>
    <w:basedOn w:val="Normal"/>
    <w:link w:val="HeaderChar"/>
    <w:uiPriority w:val="99"/>
    <w:unhideWhenUsed/>
    <w:rsid w:val="005930A0"/>
    <w:pPr>
      <w:tabs>
        <w:tab w:val="center" w:pos="4680"/>
        <w:tab w:val="right" w:pos="9360"/>
      </w:tabs>
    </w:pPr>
  </w:style>
  <w:style w:type="character" w:customStyle="1" w:styleId="HeaderChar">
    <w:name w:val="Header Char"/>
    <w:basedOn w:val="DefaultParagraphFont"/>
    <w:link w:val="Header"/>
    <w:uiPriority w:val="99"/>
    <w:rsid w:val="005930A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930A0"/>
    <w:pPr>
      <w:tabs>
        <w:tab w:val="center" w:pos="4680"/>
        <w:tab w:val="right" w:pos="9360"/>
      </w:tabs>
    </w:pPr>
  </w:style>
  <w:style w:type="character" w:customStyle="1" w:styleId="FooterChar">
    <w:name w:val="Footer Char"/>
    <w:basedOn w:val="DefaultParagraphFont"/>
    <w:link w:val="Footer"/>
    <w:uiPriority w:val="99"/>
    <w:rsid w:val="005930A0"/>
    <w:rPr>
      <w:rFonts w:ascii="Times New Roman" w:eastAsia="Times New Roman" w:hAnsi="Times New Roman" w:cs="Times New Roman"/>
      <w:sz w:val="24"/>
      <w:szCs w:val="24"/>
    </w:rPr>
  </w:style>
  <w:style w:type="paragraph" w:customStyle="1" w:styleId="Default">
    <w:name w:val="Default"/>
    <w:rsid w:val="00975750"/>
    <w:pPr>
      <w:autoSpaceDE w:val="0"/>
      <w:autoSpaceDN w:val="0"/>
      <w:adjustRightInd w:val="0"/>
      <w:spacing w:after="0" w:line="240" w:lineRule="auto"/>
    </w:pPr>
    <w:rPr>
      <w:rFonts w:ascii="Trebuchet MS" w:hAnsi="Trebuchet MS" w:cs="Trebuchet MS"/>
      <w:color w:val="000000"/>
      <w:sz w:val="24"/>
      <w:szCs w:val="24"/>
    </w:rPr>
  </w:style>
  <w:style w:type="paragraph" w:styleId="Title">
    <w:name w:val="Title"/>
    <w:basedOn w:val="Normal"/>
    <w:link w:val="TitleChar"/>
    <w:qFormat/>
    <w:rsid w:val="00951C3A"/>
    <w:pPr>
      <w:jc w:val="center"/>
    </w:pPr>
    <w:rPr>
      <w:b/>
      <w:bCs/>
      <w:lang w:val="fr-FR" w:eastAsia="fr-FR"/>
    </w:rPr>
  </w:style>
  <w:style w:type="character" w:customStyle="1" w:styleId="TitleChar">
    <w:name w:val="Title Char"/>
    <w:basedOn w:val="DefaultParagraphFont"/>
    <w:link w:val="Title"/>
    <w:rsid w:val="00951C3A"/>
    <w:rPr>
      <w:rFonts w:ascii="Times New Roman" w:eastAsia="Times New Roman" w:hAnsi="Times New Roman" w:cs="Times New Roman"/>
      <w:b/>
      <w:bCs/>
      <w:sz w:val="24"/>
      <w:szCs w:val="24"/>
      <w:lang w:val="fr-FR" w:eastAsia="fr-FR"/>
    </w:rPr>
  </w:style>
  <w:style w:type="paragraph" w:styleId="ListParagraph">
    <w:name w:val="List Paragraph"/>
    <w:basedOn w:val="Normal"/>
    <w:uiPriority w:val="34"/>
    <w:qFormat/>
    <w:rsid w:val="00951C3A"/>
    <w:pPr>
      <w:ind w:left="720"/>
      <w:contextualSpacing/>
    </w:pPr>
  </w:style>
  <w:style w:type="paragraph" w:styleId="Revision">
    <w:name w:val="Revision"/>
    <w:hidden/>
    <w:uiPriority w:val="99"/>
    <w:semiHidden/>
    <w:rsid w:val="008D75FD"/>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71256"/>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B71256"/>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B71256"/>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B71256"/>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B71256"/>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B71256"/>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B71256"/>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B71256"/>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B71256"/>
    <w:rPr>
      <w:rFonts w:ascii="Trebuchet MS" w:eastAsia="Times New Roman" w:hAnsi="Trebuchet MS" w:cs="Times New Roman"/>
      <w:b/>
      <w:bCs/>
      <w:sz w:val="20"/>
      <w:szCs w:val="24"/>
      <w:lang w:val="ro-RO"/>
    </w:rPr>
  </w:style>
  <w:style w:type="paragraph" w:customStyle="1" w:styleId="bullet1">
    <w:name w:val="bullet1"/>
    <w:basedOn w:val="Normal"/>
    <w:rsid w:val="00D36EE2"/>
    <w:pPr>
      <w:numPr>
        <w:numId w:val="8"/>
      </w:numPr>
      <w:spacing w:before="40" w:after="40"/>
    </w:pPr>
    <w:rPr>
      <w:rFonts w:ascii="Trebuchet MS" w:hAnsi="Trebuchet MS"/>
      <w:sz w:val="20"/>
    </w:rPr>
  </w:style>
  <w:style w:type="character" w:customStyle="1" w:styleId="sden">
    <w:name w:val="s_den"/>
    <w:basedOn w:val="DefaultParagraphFont"/>
    <w:rsid w:val="00D36EE2"/>
  </w:style>
  <w:style w:type="character" w:customStyle="1" w:styleId="shdr">
    <w:name w:val="s_hdr"/>
    <w:basedOn w:val="DefaultParagraphFont"/>
    <w:rsid w:val="00D36EE2"/>
  </w:style>
  <w:style w:type="character" w:styleId="Hyperlink">
    <w:name w:val="Hyperlink"/>
    <w:basedOn w:val="DefaultParagraphFont"/>
    <w:uiPriority w:val="99"/>
    <w:unhideWhenUsed/>
    <w:rsid w:val="00D36EE2"/>
    <w:rPr>
      <w:color w:val="0000FF"/>
      <w:u w:val="single"/>
    </w:rPr>
  </w:style>
  <w:style w:type="character" w:styleId="CommentReference">
    <w:name w:val="annotation reference"/>
    <w:basedOn w:val="DefaultParagraphFont"/>
    <w:uiPriority w:val="99"/>
    <w:semiHidden/>
    <w:unhideWhenUsed/>
    <w:rsid w:val="008C3F67"/>
    <w:rPr>
      <w:sz w:val="16"/>
      <w:szCs w:val="16"/>
    </w:rPr>
  </w:style>
  <w:style w:type="paragraph" w:styleId="CommentText">
    <w:name w:val="annotation text"/>
    <w:basedOn w:val="Normal"/>
    <w:link w:val="CommentTextChar"/>
    <w:uiPriority w:val="99"/>
    <w:unhideWhenUsed/>
    <w:rsid w:val="008C3F67"/>
    <w:rPr>
      <w:sz w:val="20"/>
      <w:szCs w:val="20"/>
    </w:rPr>
  </w:style>
  <w:style w:type="character" w:customStyle="1" w:styleId="CommentTextChar">
    <w:name w:val="Comment Text Char"/>
    <w:basedOn w:val="DefaultParagraphFont"/>
    <w:link w:val="CommentText"/>
    <w:uiPriority w:val="99"/>
    <w:rsid w:val="008C3F6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C3F67"/>
    <w:rPr>
      <w:b/>
      <w:bCs/>
    </w:rPr>
  </w:style>
  <w:style w:type="character" w:customStyle="1" w:styleId="CommentSubjectChar">
    <w:name w:val="Comment Subject Char"/>
    <w:basedOn w:val="CommentTextChar"/>
    <w:link w:val="CommentSubject"/>
    <w:uiPriority w:val="99"/>
    <w:semiHidden/>
    <w:rsid w:val="008C3F67"/>
    <w:rPr>
      <w:rFonts w:ascii="Times New Roman" w:eastAsia="Times New Roman" w:hAnsi="Times New Roman" w:cs="Times New Roman"/>
      <w:b/>
      <w:bCs/>
      <w:sz w:val="20"/>
      <w:szCs w:val="20"/>
    </w:rPr>
  </w:style>
  <w:style w:type="paragraph" w:customStyle="1" w:styleId="instruct">
    <w:name w:val="instruct"/>
    <w:basedOn w:val="Normal"/>
    <w:rsid w:val="00902B1F"/>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cf01">
    <w:name w:val="cf01"/>
    <w:basedOn w:val="DefaultParagraphFont"/>
    <w:rsid w:val="008C37FC"/>
    <w:rPr>
      <w:rFonts w:ascii="Segoe UI" w:hAnsi="Segoe UI" w:cs="Segoe UI" w:hint="default"/>
      <w:sz w:val="18"/>
      <w:szCs w:val="18"/>
    </w:rPr>
  </w:style>
  <w:style w:type="character" w:styleId="FollowedHyperlink">
    <w:name w:val="FollowedHyperlink"/>
    <w:basedOn w:val="DefaultParagraphFont"/>
    <w:uiPriority w:val="99"/>
    <w:semiHidden/>
    <w:unhideWhenUsed/>
    <w:rsid w:val="002A2B1E"/>
    <w:rPr>
      <w:color w:val="954F72" w:themeColor="followedHyperlink"/>
      <w:u w:val="single"/>
    </w:rPr>
  </w:style>
  <w:style w:type="character" w:styleId="UnresolvedMention">
    <w:name w:val="Unresolved Mention"/>
    <w:basedOn w:val="DefaultParagraphFont"/>
    <w:uiPriority w:val="99"/>
    <w:semiHidden/>
    <w:unhideWhenUsed/>
    <w:rsid w:val="002A2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15332">
      <w:bodyDiv w:val="1"/>
      <w:marLeft w:val="0"/>
      <w:marRight w:val="0"/>
      <w:marTop w:val="0"/>
      <w:marBottom w:val="0"/>
      <w:divBdr>
        <w:top w:val="none" w:sz="0" w:space="0" w:color="auto"/>
        <w:left w:val="none" w:sz="0" w:space="0" w:color="auto"/>
        <w:bottom w:val="none" w:sz="0" w:space="0" w:color="auto"/>
        <w:right w:val="none" w:sz="0" w:space="0" w:color="auto"/>
      </w:divBdr>
    </w:div>
    <w:div w:id="809177951">
      <w:bodyDiv w:val="1"/>
      <w:marLeft w:val="0"/>
      <w:marRight w:val="0"/>
      <w:marTop w:val="0"/>
      <w:marBottom w:val="0"/>
      <w:divBdr>
        <w:top w:val="none" w:sz="0" w:space="0" w:color="auto"/>
        <w:left w:val="none" w:sz="0" w:space="0" w:color="auto"/>
        <w:bottom w:val="none" w:sz="0" w:space="0" w:color="auto"/>
        <w:right w:val="none" w:sz="0" w:space="0" w:color="auto"/>
      </w:divBdr>
    </w:div>
    <w:div w:id="1251740522">
      <w:bodyDiv w:val="1"/>
      <w:marLeft w:val="0"/>
      <w:marRight w:val="0"/>
      <w:marTop w:val="0"/>
      <w:marBottom w:val="0"/>
      <w:divBdr>
        <w:top w:val="none" w:sz="0" w:space="0" w:color="auto"/>
        <w:left w:val="none" w:sz="0" w:space="0" w:color="auto"/>
        <w:bottom w:val="none" w:sz="0" w:space="0" w:color="auto"/>
        <w:right w:val="none" w:sz="0" w:space="0" w:color="auto"/>
      </w:divBdr>
    </w:div>
    <w:div w:id="2020620385">
      <w:bodyDiv w:val="1"/>
      <w:marLeft w:val="0"/>
      <w:marRight w:val="0"/>
      <w:marTop w:val="0"/>
      <w:marBottom w:val="0"/>
      <w:divBdr>
        <w:top w:val="none" w:sz="0" w:space="0" w:color="auto"/>
        <w:left w:val="none" w:sz="0" w:space="0" w:color="auto"/>
        <w:bottom w:val="none" w:sz="0" w:space="0" w:color="auto"/>
        <w:right w:val="none" w:sz="0" w:space="0" w:color="auto"/>
      </w:divBdr>
    </w:div>
    <w:div w:id="20551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6870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islatie.just.ro/Public/DetaliiDocumentAfis/27645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egislatie.just.ro/Public/DetaliiDocumentAfis/268707"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6414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category/anunturi-pnrr/" TargetMode="External"/><Relationship Id="rId1" Type="http://schemas.openxmlformats.org/officeDocument/2006/relationships/hyperlink" Target="https://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4147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Gherghelas</dc:creator>
  <cp:keywords/>
  <dc:description/>
  <cp:lastModifiedBy>Alina Anghelina Ploae</cp:lastModifiedBy>
  <cp:revision>2</cp:revision>
  <cp:lastPrinted>2023-12-14T09:01:00Z</cp:lastPrinted>
  <dcterms:created xsi:type="dcterms:W3CDTF">2024-03-04T08:34:00Z</dcterms:created>
  <dcterms:modified xsi:type="dcterms:W3CDTF">2024-03-04T08:34:00Z</dcterms:modified>
</cp:coreProperties>
</file>